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4B5E8" w14:textId="2E5A6457" w:rsidR="00BD05A8" w:rsidRDefault="00BD05A8" w:rsidP="004F509A">
      <w:pPr>
        <w:pStyle w:val="Default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ข้อมูลเงินกองทุนเพื่อการสืบสวนและสอบสวนคดีอาญา</w:t>
      </w:r>
    </w:p>
    <w:p w14:paraId="4C133695" w14:textId="5CC8369E" w:rsidR="00BD05A8" w:rsidRDefault="00BD05A8" w:rsidP="004F509A">
      <w:pPr>
        <w:pStyle w:val="Default"/>
        <w:jc w:val="center"/>
        <w:rPr>
          <w:sz w:val="28"/>
          <w:szCs w:val="28"/>
        </w:rPr>
      </w:pPr>
      <w:r>
        <w:rPr>
          <w:rFonts w:hint="cs"/>
          <w:b/>
          <w:bCs/>
          <w:sz w:val="28"/>
          <w:szCs w:val="28"/>
          <w:cs/>
        </w:rPr>
        <w:t>ประจาปีงบประมาณ</w:t>
      </w:r>
      <w:r>
        <w:rPr>
          <w:b/>
          <w:bCs/>
          <w:sz w:val="28"/>
          <w:szCs w:val="28"/>
          <w:cs/>
        </w:rPr>
        <w:t xml:space="preserve"> </w:t>
      </w:r>
      <w:r>
        <w:rPr>
          <w:rFonts w:hint="cs"/>
          <w:b/>
          <w:bCs/>
          <w:sz w:val="28"/>
          <w:szCs w:val="28"/>
          <w:cs/>
        </w:rPr>
        <w:t>พ</w:t>
      </w:r>
      <w:r>
        <w:rPr>
          <w:b/>
          <w:bCs/>
          <w:sz w:val="28"/>
          <w:szCs w:val="28"/>
          <w:cs/>
        </w:rPr>
        <w:t>.</w:t>
      </w:r>
      <w:r>
        <w:rPr>
          <w:rFonts w:hint="cs"/>
          <w:b/>
          <w:bCs/>
          <w:sz w:val="28"/>
          <w:szCs w:val="28"/>
          <w:cs/>
        </w:rPr>
        <w:t>ศ</w:t>
      </w:r>
      <w:r>
        <w:rPr>
          <w:b/>
          <w:bCs/>
          <w:sz w:val="28"/>
          <w:szCs w:val="28"/>
          <w:cs/>
        </w:rPr>
        <w:t>. 2567</w:t>
      </w: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5"/>
        <w:gridCol w:w="714"/>
        <w:gridCol w:w="931"/>
        <w:gridCol w:w="787"/>
        <w:gridCol w:w="858"/>
        <w:gridCol w:w="702"/>
        <w:gridCol w:w="943"/>
        <w:gridCol w:w="758"/>
        <w:gridCol w:w="887"/>
      </w:tblGrid>
      <w:tr w:rsidR="00952685" w14:paraId="647CECCD" w14:textId="77777777" w:rsidTr="00952685">
        <w:trPr>
          <w:trHeight w:val="375"/>
        </w:trPr>
        <w:tc>
          <w:tcPr>
            <w:tcW w:w="1645" w:type="dxa"/>
            <w:vMerge w:val="restart"/>
          </w:tcPr>
          <w:p w14:paraId="1821DFE7" w14:textId="05D550AA" w:rsidR="00952685" w:rsidRDefault="00952685" w:rsidP="00BD05A8">
            <w:pPr>
              <w:pStyle w:val="Default"/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สถานีตำรวจภูธรบ้านท่าเลื่อน</w:t>
            </w:r>
          </w:p>
        </w:tc>
        <w:tc>
          <w:tcPr>
            <w:tcW w:w="1645" w:type="dxa"/>
            <w:gridSpan w:val="2"/>
          </w:tcPr>
          <w:p w14:paraId="6697585D" w14:textId="576D0C34" w:rsidR="00952685" w:rsidRDefault="00952685" w:rsidP="004F50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ไตรมาสที่</w:t>
            </w: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645" w:type="dxa"/>
            <w:gridSpan w:val="2"/>
          </w:tcPr>
          <w:p w14:paraId="5725D182" w14:textId="1D35AF34" w:rsidR="00952685" w:rsidRDefault="00952685" w:rsidP="004F50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ไตรมาสที่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645" w:type="dxa"/>
            <w:gridSpan w:val="2"/>
          </w:tcPr>
          <w:p w14:paraId="60E34D61" w14:textId="1EA2B46F" w:rsidR="00952685" w:rsidRDefault="00952685" w:rsidP="004F50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ไตรมาสที่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645" w:type="dxa"/>
            <w:gridSpan w:val="2"/>
          </w:tcPr>
          <w:p w14:paraId="0B1C6453" w14:textId="4BE8F30B" w:rsidR="00952685" w:rsidRDefault="00952685" w:rsidP="004F509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ไตรมาสที่</w:t>
            </w:r>
            <w:r>
              <w:rPr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952685" w14:paraId="04A058E9" w14:textId="39A11E83" w:rsidTr="00952685">
        <w:trPr>
          <w:trHeight w:val="367"/>
        </w:trPr>
        <w:tc>
          <w:tcPr>
            <w:tcW w:w="1645" w:type="dxa"/>
            <w:vMerge/>
          </w:tcPr>
          <w:p w14:paraId="194C0BA7" w14:textId="77777777" w:rsidR="00952685" w:rsidRDefault="00952685">
            <w:pPr>
              <w:pStyle w:val="Default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14" w:type="dxa"/>
            <w:vMerge w:val="restart"/>
            <w:vAlign w:val="center"/>
          </w:tcPr>
          <w:p w14:paraId="1567B926" w14:textId="068B3051" w:rsidR="00952685" w:rsidRDefault="00952685" w:rsidP="004F509A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จัดสรร</w:t>
            </w:r>
          </w:p>
        </w:tc>
        <w:tc>
          <w:tcPr>
            <w:tcW w:w="931" w:type="dxa"/>
            <w:vMerge w:val="restart"/>
            <w:vAlign w:val="center"/>
          </w:tcPr>
          <w:p w14:paraId="74088C01" w14:textId="0F786C52" w:rsidR="00952685" w:rsidRDefault="00952685" w:rsidP="00BD05A8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เบิกจ่าย</w:t>
            </w:r>
          </w:p>
        </w:tc>
        <w:tc>
          <w:tcPr>
            <w:tcW w:w="787" w:type="dxa"/>
            <w:vMerge w:val="restart"/>
            <w:vAlign w:val="center"/>
          </w:tcPr>
          <w:p w14:paraId="4736921D" w14:textId="3500DCE6" w:rsidR="00952685" w:rsidRDefault="00952685" w:rsidP="00BD05A8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จัดสรร</w:t>
            </w:r>
          </w:p>
        </w:tc>
        <w:tc>
          <w:tcPr>
            <w:tcW w:w="858" w:type="dxa"/>
            <w:vMerge w:val="restart"/>
            <w:vAlign w:val="center"/>
          </w:tcPr>
          <w:p w14:paraId="0DEE6794" w14:textId="0A13A841" w:rsidR="00952685" w:rsidRDefault="00952685" w:rsidP="00BD05A8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702" w:type="dxa"/>
            <w:vMerge w:val="restart"/>
            <w:vAlign w:val="center"/>
          </w:tcPr>
          <w:p w14:paraId="13903BED" w14:textId="2D37678F" w:rsidR="00952685" w:rsidRDefault="00952685" w:rsidP="00BD05A8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จัดสรร</w:t>
            </w:r>
          </w:p>
        </w:tc>
        <w:tc>
          <w:tcPr>
            <w:tcW w:w="943" w:type="dxa"/>
            <w:vMerge w:val="restart"/>
            <w:vAlign w:val="center"/>
          </w:tcPr>
          <w:p w14:paraId="3DB45B50" w14:textId="4B969DF7" w:rsidR="00952685" w:rsidRDefault="00952685" w:rsidP="00BD05A8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เบิกจ่าย</w:t>
            </w:r>
          </w:p>
        </w:tc>
        <w:tc>
          <w:tcPr>
            <w:tcW w:w="758" w:type="dxa"/>
            <w:vMerge w:val="restart"/>
            <w:vAlign w:val="center"/>
          </w:tcPr>
          <w:p w14:paraId="1F57C153" w14:textId="02C590DA" w:rsidR="00952685" w:rsidRDefault="00952685" w:rsidP="00BD05A8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จัดสรร</w:t>
            </w:r>
          </w:p>
        </w:tc>
        <w:tc>
          <w:tcPr>
            <w:tcW w:w="887" w:type="dxa"/>
            <w:vMerge w:val="restart"/>
            <w:vAlign w:val="center"/>
          </w:tcPr>
          <w:p w14:paraId="751C6A44" w14:textId="6C5CCAC8" w:rsidR="00952685" w:rsidRDefault="00952685" w:rsidP="00BD05A8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เบิกจ่าย</w:t>
            </w:r>
          </w:p>
        </w:tc>
      </w:tr>
      <w:tr w:rsidR="00952685" w14:paraId="70EE6C4F" w14:textId="77777777" w:rsidTr="00952685">
        <w:trPr>
          <w:trHeight w:val="513"/>
        </w:trPr>
        <w:tc>
          <w:tcPr>
            <w:tcW w:w="1645" w:type="dxa"/>
          </w:tcPr>
          <w:p w14:paraId="5F266B9A" w14:textId="07E44383" w:rsidR="00952685" w:rsidRDefault="00952685" w:rsidP="004F509A">
            <w:pPr>
              <w:pStyle w:val="Default"/>
              <w:jc w:val="center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cs/>
              </w:rPr>
              <w:t>รายการ</w:t>
            </w:r>
          </w:p>
        </w:tc>
        <w:tc>
          <w:tcPr>
            <w:tcW w:w="714" w:type="dxa"/>
            <w:vMerge/>
          </w:tcPr>
          <w:p w14:paraId="5FFAE403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931" w:type="dxa"/>
            <w:vMerge/>
          </w:tcPr>
          <w:p w14:paraId="370A249A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87" w:type="dxa"/>
            <w:vMerge/>
          </w:tcPr>
          <w:p w14:paraId="1B2AF5CC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  <w:vMerge/>
          </w:tcPr>
          <w:p w14:paraId="5A246262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  <w:vMerge/>
          </w:tcPr>
          <w:p w14:paraId="40DF2A2F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  <w:vMerge/>
          </w:tcPr>
          <w:p w14:paraId="4C622C15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  <w:vMerge/>
          </w:tcPr>
          <w:p w14:paraId="6D4207C1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  <w:vMerge/>
          </w:tcPr>
          <w:p w14:paraId="1930670F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952685" w14:paraId="1A61C9F4" w14:textId="77777777" w:rsidTr="006B3D50">
        <w:trPr>
          <w:trHeight w:val="449"/>
        </w:trPr>
        <w:tc>
          <w:tcPr>
            <w:tcW w:w="1645" w:type="dxa"/>
          </w:tcPr>
          <w:p w14:paraId="00A49FA5" w14:textId="4E61644E" w:rsidR="00952685" w:rsidRDefault="00952685" w:rsidP="00BD05A8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ได้รับการจัดสรรเมื่อวันที่ 27 ธ.ค.66</w:t>
            </w:r>
          </w:p>
        </w:tc>
        <w:tc>
          <w:tcPr>
            <w:tcW w:w="714" w:type="dxa"/>
          </w:tcPr>
          <w:p w14:paraId="468D2088" w14:textId="2DA85D3C" w:rsidR="00952685" w:rsidRDefault="00952685" w:rsidP="00BD05A8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108,000</w:t>
            </w:r>
          </w:p>
        </w:tc>
        <w:tc>
          <w:tcPr>
            <w:tcW w:w="931" w:type="dxa"/>
            <w:vAlign w:val="center"/>
          </w:tcPr>
          <w:p w14:paraId="2F25E5F6" w14:textId="5EE71763" w:rsidR="00952685" w:rsidRDefault="006B3D50" w:rsidP="006B3D50">
            <w:pPr>
              <w:pStyle w:val="Default"/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787" w:type="dxa"/>
          </w:tcPr>
          <w:p w14:paraId="5BF3EA87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</w:tcPr>
          <w:p w14:paraId="377926EB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</w:tcPr>
          <w:p w14:paraId="3DD6D219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</w:tcPr>
          <w:p w14:paraId="7546E2EB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</w:tcPr>
          <w:p w14:paraId="3B7C4968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2A18F452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952685" w14:paraId="3C3D05D1" w14:textId="77777777" w:rsidTr="00952685">
        <w:trPr>
          <w:trHeight w:val="449"/>
        </w:trPr>
        <w:tc>
          <w:tcPr>
            <w:tcW w:w="1645" w:type="dxa"/>
          </w:tcPr>
          <w:p w14:paraId="0C31DF35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14" w:type="dxa"/>
          </w:tcPr>
          <w:p w14:paraId="704C9C90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931" w:type="dxa"/>
          </w:tcPr>
          <w:p w14:paraId="461F35E0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87" w:type="dxa"/>
          </w:tcPr>
          <w:p w14:paraId="3662AC11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</w:tcPr>
          <w:p w14:paraId="026FCBEA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</w:tcPr>
          <w:p w14:paraId="15EE8B47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</w:tcPr>
          <w:p w14:paraId="7B61F045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</w:tcPr>
          <w:p w14:paraId="774B70DD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2435BA69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952685" w14:paraId="5B4A5F42" w14:textId="77777777" w:rsidTr="00952685">
        <w:trPr>
          <w:trHeight w:val="449"/>
        </w:trPr>
        <w:tc>
          <w:tcPr>
            <w:tcW w:w="1645" w:type="dxa"/>
          </w:tcPr>
          <w:p w14:paraId="67925DA5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14" w:type="dxa"/>
          </w:tcPr>
          <w:p w14:paraId="751F822B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931" w:type="dxa"/>
          </w:tcPr>
          <w:p w14:paraId="54D195CB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87" w:type="dxa"/>
          </w:tcPr>
          <w:p w14:paraId="076C756D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</w:tcPr>
          <w:p w14:paraId="66E1808E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</w:tcPr>
          <w:p w14:paraId="740DBCFF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</w:tcPr>
          <w:p w14:paraId="4E1874AD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</w:tcPr>
          <w:p w14:paraId="1B40FC5F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271E9517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952685" w14:paraId="52D84438" w14:textId="77777777" w:rsidTr="00952685">
        <w:trPr>
          <w:trHeight w:val="449"/>
        </w:trPr>
        <w:tc>
          <w:tcPr>
            <w:tcW w:w="1645" w:type="dxa"/>
          </w:tcPr>
          <w:p w14:paraId="1B75AE77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14" w:type="dxa"/>
          </w:tcPr>
          <w:p w14:paraId="0CB2C6E0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931" w:type="dxa"/>
          </w:tcPr>
          <w:p w14:paraId="41844954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87" w:type="dxa"/>
          </w:tcPr>
          <w:p w14:paraId="0AFE0013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</w:tcPr>
          <w:p w14:paraId="4D55833D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</w:tcPr>
          <w:p w14:paraId="649886B0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</w:tcPr>
          <w:p w14:paraId="4A73EB5F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</w:tcPr>
          <w:p w14:paraId="5C1988C1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5AA04DDF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952685" w14:paraId="52E55739" w14:textId="77777777" w:rsidTr="006B3D50">
        <w:trPr>
          <w:trHeight w:val="449"/>
        </w:trPr>
        <w:tc>
          <w:tcPr>
            <w:tcW w:w="1645" w:type="dxa"/>
            <w:vAlign w:val="center"/>
          </w:tcPr>
          <w:p w14:paraId="2D8724D9" w14:textId="2B46D124" w:rsidR="00952685" w:rsidRDefault="00952685" w:rsidP="004F509A">
            <w:pPr>
              <w:pStyle w:val="Default"/>
              <w:jc w:val="center"/>
              <w:rPr>
                <w:cs/>
              </w:rPr>
            </w:pPr>
            <w:r>
              <w:rPr>
                <w:rFonts w:hint="cs"/>
                <w:cs/>
              </w:rPr>
              <w:t>รวมเงิน</w:t>
            </w:r>
          </w:p>
        </w:tc>
        <w:tc>
          <w:tcPr>
            <w:tcW w:w="714" w:type="dxa"/>
          </w:tcPr>
          <w:p w14:paraId="349D71B3" w14:textId="664ACEA9" w:rsidR="00952685" w:rsidRDefault="006B3D50" w:rsidP="00BD05A8">
            <w:pPr>
              <w:pStyle w:val="Default"/>
              <w:rPr>
                <w:cs/>
              </w:rPr>
            </w:pPr>
            <w:r>
              <w:t>108,000</w:t>
            </w:r>
          </w:p>
        </w:tc>
        <w:tc>
          <w:tcPr>
            <w:tcW w:w="931" w:type="dxa"/>
            <w:vAlign w:val="center"/>
          </w:tcPr>
          <w:p w14:paraId="171FA3D7" w14:textId="627923AE" w:rsidR="00952685" w:rsidRDefault="006B3D50" w:rsidP="006B3D50">
            <w:pPr>
              <w:pStyle w:val="Default"/>
              <w:jc w:val="center"/>
              <w:rPr>
                <w:cs/>
              </w:rPr>
            </w:pPr>
            <w:r>
              <w:t>-</w:t>
            </w:r>
          </w:p>
        </w:tc>
        <w:tc>
          <w:tcPr>
            <w:tcW w:w="787" w:type="dxa"/>
          </w:tcPr>
          <w:p w14:paraId="33DD3158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</w:tcPr>
          <w:p w14:paraId="47BAC653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</w:tcPr>
          <w:p w14:paraId="63573152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</w:tcPr>
          <w:p w14:paraId="230C0875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</w:tcPr>
          <w:p w14:paraId="1FAD3909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5371E184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  <w:tr w:rsidR="00952685" w14:paraId="76E1DDDF" w14:textId="77777777" w:rsidTr="00952685">
        <w:trPr>
          <w:trHeight w:val="449"/>
        </w:trPr>
        <w:tc>
          <w:tcPr>
            <w:tcW w:w="1645" w:type="dxa"/>
          </w:tcPr>
          <w:p w14:paraId="4E0B62F2" w14:textId="78405508" w:rsidR="00952685" w:rsidRDefault="00952685" w:rsidP="00BD05A8">
            <w:pPr>
              <w:pStyle w:val="Default"/>
              <w:rPr>
                <w:cs/>
              </w:rPr>
            </w:pPr>
            <w:r>
              <w:rPr>
                <w:rFonts w:hint="cs"/>
                <w:cs/>
              </w:rPr>
              <w:t>รวมคดีที่ใช้เงินกองทุน</w:t>
            </w:r>
          </w:p>
        </w:tc>
        <w:tc>
          <w:tcPr>
            <w:tcW w:w="714" w:type="dxa"/>
          </w:tcPr>
          <w:p w14:paraId="25DFAE77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931" w:type="dxa"/>
          </w:tcPr>
          <w:p w14:paraId="1134C8D3" w14:textId="77777777" w:rsidR="00952685" w:rsidRDefault="00952685" w:rsidP="00BD05A8">
            <w:pPr>
              <w:pStyle w:val="Default"/>
              <w:rPr>
                <w:cs/>
              </w:rPr>
            </w:pPr>
          </w:p>
        </w:tc>
        <w:tc>
          <w:tcPr>
            <w:tcW w:w="787" w:type="dxa"/>
          </w:tcPr>
          <w:p w14:paraId="310905F8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58" w:type="dxa"/>
          </w:tcPr>
          <w:p w14:paraId="4236C13A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02" w:type="dxa"/>
          </w:tcPr>
          <w:p w14:paraId="499FA882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943" w:type="dxa"/>
          </w:tcPr>
          <w:p w14:paraId="0D106649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758" w:type="dxa"/>
          </w:tcPr>
          <w:p w14:paraId="4930B6F1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  <w:tc>
          <w:tcPr>
            <w:tcW w:w="887" w:type="dxa"/>
          </w:tcPr>
          <w:p w14:paraId="6CE70CC5" w14:textId="77777777" w:rsidR="00952685" w:rsidRDefault="00952685" w:rsidP="00BD05A8">
            <w:pPr>
              <w:pStyle w:val="Default"/>
              <w:rPr>
                <w:sz w:val="28"/>
                <w:szCs w:val="28"/>
                <w:cs/>
              </w:rPr>
            </w:pPr>
          </w:p>
        </w:tc>
      </w:tr>
    </w:tbl>
    <w:p w14:paraId="7F560D73" w14:textId="1A5447FD" w:rsidR="00E22F54" w:rsidRDefault="004F509A">
      <w:r>
        <w:rPr>
          <w:rFonts w:hint="cs"/>
          <w:cs/>
        </w:rPr>
        <w:t>ข้อมูล ณ วันที่ 31 มีนาคม 2567</w:t>
      </w:r>
    </w:p>
    <w:sectPr w:rsidR="00E22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 PSK"/>
    <w:charset w:val="DE"/>
    <w:family w:val="swiss"/>
    <w:pitch w:val="variable"/>
    <w:sig w:usb0="01000003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5A8"/>
    <w:rsid w:val="00340EA9"/>
    <w:rsid w:val="004F509A"/>
    <w:rsid w:val="00583E77"/>
    <w:rsid w:val="006B3D50"/>
    <w:rsid w:val="00952685"/>
    <w:rsid w:val="009A1C53"/>
    <w:rsid w:val="00BC5DDC"/>
    <w:rsid w:val="00BD05A8"/>
    <w:rsid w:val="00E2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D06D3"/>
  <w15:chartTrackingRefBased/>
  <w15:docId w15:val="{D15CCBB6-F61D-46D4-915D-C727D420B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color w:val="000000"/>
        <w:kern w:val="2"/>
        <w:sz w:val="32"/>
        <w:szCs w:val="32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D05A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2024-03-15T20:10:00Z</dcterms:created>
  <dcterms:modified xsi:type="dcterms:W3CDTF">2024-03-15T20:10:00Z</dcterms:modified>
</cp:coreProperties>
</file>